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448945</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483235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ind w:left="5280"/>
        <w:spacing w:after="0"/>
        <w:rPr>
          <w:sz w:val="20"/>
          <w:szCs w:val="20"/>
          <w:color w:val="auto"/>
        </w:rPr>
      </w:pPr>
      <w:r>
        <w:rPr>
          <w:rFonts w:ascii="Arial" w:cs="Arial" w:eastAsia="Arial" w:hAnsi="Arial"/>
          <w:sz w:val="18"/>
          <w:szCs w:val="18"/>
          <w:b w:val="1"/>
          <w:bCs w:val="1"/>
          <w:color w:val="auto"/>
        </w:rPr>
        <w:t>FORM 6-K</w:t>
      </w:r>
    </w:p>
    <w:p>
      <w:pPr>
        <w:spacing w:after="0" w:line="200" w:lineRule="exact"/>
        <w:rPr>
          <w:sz w:val="24"/>
          <w:szCs w:val="24"/>
          <w:color w:val="auto"/>
        </w:rPr>
      </w:pPr>
    </w:p>
    <w:p>
      <w:pPr>
        <w:spacing w:after="0" w:line="24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October, 2017</w:t>
      </w:r>
    </w:p>
    <w:p>
      <w:pPr>
        <w:spacing w:after="0" w:line="225" w:lineRule="exact"/>
        <w:rPr>
          <w:sz w:val="24"/>
          <w:szCs w:val="24"/>
          <w:color w:val="auto"/>
        </w:rPr>
      </w:pPr>
    </w:p>
    <w:p>
      <w:pPr>
        <w:ind w:left="446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3"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w:t>
      </w:r>
      <w:r>
        <w:rPr>
          <w:rFonts w:ascii="Arial" w:cs="Arial" w:eastAsia="Arial" w:hAnsi="Arial"/>
          <w:sz w:val="18"/>
          <w:szCs w:val="18"/>
          <w:b w:val="1"/>
          <w:bCs w:val="1"/>
          <w:color w:val="auto"/>
        </w:rPr>
        <w:t>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402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4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43"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560"/>
        <w:spacing w:after="0" w:line="207" w:lineRule="exact"/>
        <w:tabs>
          <w:tab w:leader="none" w:pos="58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080"/>
        <w:spacing w:after="0" w:line="207" w:lineRule="exact"/>
        <w:tabs>
          <w:tab w:leader="none" w:pos="59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080"/>
        <w:spacing w:after="0" w:line="207" w:lineRule="exact"/>
        <w:tabs>
          <w:tab w:leader="none" w:pos="590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105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October 4, 2017</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588645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3075305</wp:posOffset>
            </wp:positionH>
            <wp:positionV relativeFrom="paragraph">
              <wp:posOffset>154940</wp:posOffset>
            </wp:positionV>
            <wp:extent cx="1106170" cy="6261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106170" cy="6261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Bladex acts as Joint Lead Arranger of a US$100 million, 5-year senior unsecured</w:t>
      </w:r>
    </w:p>
    <w:p>
      <w:pPr>
        <w:spacing w:after="0" w:line="4"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amortizing term loan for Cooperativa de Productores De Leche Dos Pinos R.</w:t>
      </w:r>
      <w:r>
        <w:rPr>
          <w:rFonts w:ascii="Arial" w:cs="Arial" w:eastAsia="Arial" w:hAnsi="Arial"/>
          <w:sz w:val="18"/>
          <w:szCs w:val="18"/>
          <w:b w:val="1"/>
          <w:bCs w:val="1"/>
          <w:color w:val="auto"/>
        </w:rPr>
        <w:t>L.</w:t>
      </w:r>
    </w:p>
    <w:p>
      <w:pPr>
        <w:jc w:val="center"/>
        <w:spacing w:after="0"/>
        <w:rPr>
          <w:sz w:val="20"/>
          <w:szCs w:val="20"/>
          <w:color w:val="auto"/>
        </w:rPr>
      </w:pPr>
      <w:r>
        <w:rPr>
          <w:rFonts w:ascii="Arial" w:cs="Arial" w:eastAsia="Arial" w:hAnsi="Arial"/>
          <w:sz w:val="22"/>
          <w:szCs w:val="22"/>
          <w:b w:val="1"/>
          <w:bCs w:val="1"/>
          <w:color w:val="auto"/>
        </w:rPr>
        <w:t>(“Dos Pinos”)</w:t>
      </w:r>
    </w:p>
    <w:p>
      <w:pPr>
        <w:spacing w:after="0" w:line="191"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October 4, 2017 - </w:t>
      </w:r>
      <w:r>
        <w:rPr>
          <w:rFonts w:ascii="Arial" w:cs="Arial" w:eastAsia="Arial" w:hAnsi="Arial"/>
          <w:sz w:val="18"/>
          <w:szCs w:val="18"/>
          <w:color w:val="auto"/>
        </w:rPr>
        <w:t>Banco Latinoamericano de Comercio Exterior, S.A. (“Bladex” or “the Bank”;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the closing of a US$100 million, five year, syndicated loan in favor of Transnieve Ltd., Corporación Industrial Americana Ltd. and Productos Nevada S. de R.L., companies belonging to Dos Pinos, the largest dairy company in Central America and the Caribbean.</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Facility was structured as a club deal between Bladex, Banco General, S.A. and Banistmo S.A., which together acted as Joint Lead Arrangers. Bladex is also the Administrative Agent under the Facility.</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The proceeds of the loan will be used to improve the company’s debt maturity profile.</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initiated operations in 1979 to promote foreign trade finance and economic integration in the Region. The Bank, headquartered in Panama, also has offices in Argentina, Brazil, Colombia, Mexico, Peru, and an agency in the United States of America, supporting the regional expansion and servicing its customer base, which includes financial institutions and corporations.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(ticker symbol: BLX), since 1992, and its shareholders include: central banks,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Bladex’s website at </w:t>
      </w:r>
      <w:r>
        <w:rPr>
          <w:rFonts w:ascii="Arial" w:cs="Arial" w:eastAsia="Arial" w:hAnsi="Arial"/>
          <w:sz w:val="18"/>
          <w:szCs w:val="18"/>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10052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50430" cy="1005205"/>
                    </a:xfrm>
                    <a:prstGeom prst="rect">
                      <a:avLst/>
                    </a:prstGeom>
                    <a:noFill/>
                  </pic:spPr>
                </pic:pic>
              </a:graphicData>
            </a:graphic>
          </wp:anchor>
        </w:drawing>
      </w:r>
    </w:p>
    <w:p>
      <w:pPr>
        <w:spacing w:after="0" w:line="200" w:lineRule="exact"/>
        <w:rPr>
          <w:sz w:val="20"/>
          <w:szCs w:val="20"/>
          <w:color w:val="auto"/>
        </w:rPr>
      </w:pPr>
    </w:p>
    <w:p>
      <w:pPr>
        <w:spacing w:after="0" w:line="262" w:lineRule="exact"/>
        <w:rPr>
          <w:sz w:val="20"/>
          <w:szCs w:val="20"/>
          <w:color w:val="auto"/>
        </w:rPr>
      </w:pPr>
    </w:p>
    <w:p>
      <w:pPr>
        <w:ind w:left="140"/>
        <w:spacing w:after="0"/>
        <w:rPr>
          <w:sz w:val="20"/>
          <w:szCs w:val="20"/>
          <w:color w:val="auto"/>
        </w:rPr>
      </w:pPr>
      <w:r>
        <w:rPr>
          <w:rFonts w:ascii="Arial" w:cs="Arial" w:eastAsia="Arial" w:hAnsi="Arial"/>
          <w:sz w:val="18"/>
          <w:szCs w:val="18"/>
          <w:color w:val="auto"/>
        </w:rPr>
        <w:t>Irma Garrido Arango - Senior Vicepresident, Corporate Development and Investor Relations</w:t>
      </w:r>
    </w:p>
    <w:p>
      <w:pPr>
        <w:spacing w:after="0" w:line="23" w:lineRule="exact"/>
        <w:rPr>
          <w:sz w:val="20"/>
          <w:szCs w:val="20"/>
          <w:color w:val="auto"/>
        </w:rPr>
      </w:pPr>
    </w:p>
    <w:p>
      <w:pPr>
        <w:ind w:left="14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igarrido@bladex.com</w:t>
      </w:r>
      <w:r>
        <w:rPr>
          <w:rFonts w:ascii="Arial" w:cs="Arial" w:eastAsia="Arial" w:hAnsi="Arial"/>
          <w:sz w:val="18"/>
          <w:szCs w:val="18"/>
          <w:color w:val="auto"/>
        </w:rPr>
        <w:t>, Tel.: (+507) 210-8559</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751840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31"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2020-01-18T11:51:52Z</dcterms:created>
  <dcterms:modified xsi:type="dcterms:W3CDTF">2020-01-18T11:51:52Z</dcterms:modified>
</cp:coreProperties>
</file>